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8A6" w:rsidRPr="00E43992" w:rsidRDefault="009608A6" w:rsidP="00D606A6">
      <w:pPr>
        <w:autoSpaceDE w:val="0"/>
        <w:autoSpaceDN w:val="0"/>
        <w:adjustRightInd w:val="0"/>
        <w:rPr>
          <w:rFonts w:ascii="FagoNoRegular-Caps" w:hAnsi="FagoNoRegular-Caps" w:cs="FagoNoRegular-Caps"/>
          <w:sz w:val="18"/>
          <w:szCs w:val="18"/>
          <w:lang w:val="de-DE"/>
        </w:rPr>
      </w:pPr>
      <w:r w:rsidRPr="00E43992">
        <w:rPr>
          <w:rFonts w:ascii="FagoNoRegular-Caps" w:hAnsi="FagoNoRegular-Caps" w:cs="FagoNoRegular-Caps"/>
          <w:sz w:val="18"/>
          <w:szCs w:val="18"/>
          <w:lang w:val="de-DE"/>
        </w:rPr>
        <w:t xml:space="preserve">Auszug aus der </w:t>
      </w:r>
    </w:p>
    <w:p w:rsidR="009608A6" w:rsidRPr="00E43992" w:rsidRDefault="009608A6" w:rsidP="00D606A6">
      <w:pPr>
        <w:autoSpaceDE w:val="0"/>
        <w:autoSpaceDN w:val="0"/>
        <w:adjustRightInd w:val="0"/>
        <w:rPr>
          <w:rFonts w:ascii="FagoNoRegular-Caps" w:hAnsi="FagoNoRegular-Caps" w:cs="FagoNoRegular-Caps"/>
          <w:sz w:val="18"/>
          <w:szCs w:val="18"/>
          <w:lang w:val="de-DE"/>
        </w:rPr>
      </w:pPr>
      <w:r w:rsidRPr="00E43992">
        <w:rPr>
          <w:rFonts w:ascii="FagoNoRegular-Caps" w:hAnsi="FagoNoRegular-Caps" w:cs="FagoNoRegular-Caps"/>
          <w:sz w:val="18"/>
          <w:szCs w:val="18"/>
          <w:lang w:val="de-DE"/>
        </w:rPr>
        <w:t>Konferenzbroschüre 2009 der deutschen Sektion von</w:t>
      </w:r>
    </w:p>
    <w:p w:rsidR="00D606A6" w:rsidRPr="00E43992" w:rsidRDefault="009608A6" w:rsidP="009608A6">
      <w:pPr>
        <w:autoSpaceDE w:val="0"/>
        <w:autoSpaceDN w:val="0"/>
        <w:adjustRightInd w:val="0"/>
        <w:rPr>
          <w:rFonts w:ascii="FagoNoRegular-Caps" w:hAnsi="FagoNoRegular-Caps" w:cs="FagoNoRegular-Caps"/>
          <w:sz w:val="18"/>
          <w:szCs w:val="18"/>
          <w:lang w:val="de-DE"/>
        </w:rPr>
      </w:pPr>
      <w:r w:rsidRPr="00E43992">
        <w:rPr>
          <w:rFonts w:ascii="FagoNoRegular-Caps" w:hAnsi="FagoNoRegular-Caps" w:cs="FagoNoRegular-Caps"/>
          <w:sz w:val="18"/>
          <w:szCs w:val="18"/>
          <w:lang w:val="de-DE"/>
        </w:rPr>
        <w:t xml:space="preserve">Ärzte ohne Grenzen, </w:t>
      </w:r>
    </w:p>
    <w:p w:rsidR="009608A6" w:rsidRPr="00E43992" w:rsidRDefault="009608A6" w:rsidP="009608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44"/>
          <w:szCs w:val="44"/>
          <w:lang w:val="de-DE"/>
        </w:rPr>
      </w:pPr>
    </w:p>
    <w:p w:rsidR="00D606A6" w:rsidRPr="00E43992" w:rsidRDefault="00D606A6" w:rsidP="00D606A6">
      <w:pPr>
        <w:autoSpaceDE w:val="0"/>
        <w:autoSpaceDN w:val="0"/>
        <w:adjustRightInd w:val="0"/>
        <w:rPr>
          <w:rFonts w:ascii="FagoRoughBoldLf-Roman" w:hAnsi="FagoRoughBoldLf-Roman" w:cs="FagoRoughBoldLf-Roman"/>
          <w:b/>
          <w:bCs/>
          <w:sz w:val="130"/>
          <w:szCs w:val="130"/>
          <w:lang w:val="de-DE"/>
        </w:rPr>
      </w:pPr>
      <w:r w:rsidRPr="00E43992">
        <w:rPr>
          <w:rFonts w:ascii="FagoRoughBoldLf-Roman" w:hAnsi="FagoRoughBoldLf-Roman" w:cs="FagoRoughBoldLf-Roman"/>
          <w:b/>
          <w:bCs/>
          <w:sz w:val="130"/>
          <w:szCs w:val="130"/>
          <w:lang w:val="de-DE"/>
        </w:rPr>
        <w:t>Zwischen Hilfe</w:t>
      </w:r>
      <w:r w:rsidR="009608A6" w:rsidRPr="00E43992">
        <w:rPr>
          <w:rFonts w:ascii="FagoRoughBoldLf-Roman" w:hAnsi="FagoRoughBoldLf-Roman" w:cs="FagoRoughBoldLf-Roman"/>
          <w:b/>
          <w:bCs/>
          <w:sz w:val="130"/>
          <w:szCs w:val="130"/>
          <w:lang w:val="de-DE"/>
        </w:rPr>
        <w:t xml:space="preserve"> </w:t>
      </w:r>
      <w:r w:rsidRPr="00E43992">
        <w:rPr>
          <w:rFonts w:ascii="FagoRoughBoldLf-Roman" w:hAnsi="FagoRoughBoldLf-Roman" w:cs="FagoRoughBoldLf-Roman"/>
          <w:b/>
          <w:bCs/>
          <w:sz w:val="130"/>
          <w:szCs w:val="130"/>
          <w:lang w:val="de-DE"/>
        </w:rPr>
        <w:t>und Hilflosigkeit</w:t>
      </w:r>
    </w:p>
    <w:p w:rsidR="00D606A6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44"/>
          <w:szCs w:val="44"/>
          <w:lang w:val="de-DE"/>
        </w:rPr>
      </w:pPr>
      <w:r w:rsidRPr="00E43992">
        <w:rPr>
          <w:rFonts w:ascii="FagoNoRegular-Roman" w:hAnsi="FagoNoRegular-Roman" w:cs="FagoNoRegular-Roman"/>
          <w:sz w:val="44"/>
          <w:szCs w:val="44"/>
          <w:lang w:val="de-DE"/>
        </w:rPr>
        <w:t>Die Realität der humanitären Hilfe</w:t>
      </w:r>
    </w:p>
    <w:p w:rsidR="00D606A6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44"/>
          <w:szCs w:val="44"/>
          <w:lang w:val="de-DE"/>
        </w:rPr>
      </w:pPr>
      <w:r w:rsidRPr="00E43992">
        <w:rPr>
          <w:rFonts w:ascii="FagoNoRegular-Roman" w:hAnsi="FagoNoRegular-Roman" w:cs="FagoNoRegular-Roman"/>
          <w:sz w:val="44"/>
          <w:szCs w:val="44"/>
          <w:lang w:val="de-DE"/>
        </w:rPr>
        <w:t>Konferenz, Juni 2009</w:t>
      </w:r>
    </w:p>
    <w:p w:rsidR="006704E5" w:rsidRPr="00E43992" w:rsidRDefault="006704E5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18"/>
          <w:szCs w:val="18"/>
          <w:lang w:val="de-DE"/>
        </w:rPr>
      </w:pPr>
    </w:p>
    <w:p w:rsidR="006704E5" w:rsidRPr="00E43992" w:rsidRDefault="006704E5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18"/>
          <w:szCs w:val="18"/>
          <w:lang w:val="de-DE"/>
        </w:rPr>
      </w:pPr>
    </w:p>
    <w:p w:rsidR="00EF045C" w:rsidRPr="00E43992" w:rsidRDefault="00EF045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18"/>
          <w:szCs w:val="18"/>
          <w:lang w:val="de-DE"/>
        </w:rPr>
      </w:pPr>
    </w:p>
    <w:p w:rsidR="00EF045C" w:rsidRPr="00E43992" w:rsidRDefault="00EF045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18"/>
          <w:szCs w:val="18"/>
          <w:lang w:val="de-DE"/>
        </w:rPr>
      </w:pPr>
    </w:p>
    <w:p w:rsidR="006704E5" w:rsidRPr="00E43992" w:rsidRDefault="006704E5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18"/>
          <w:szCs w:val="18"/>
          <w:lang w:val="de-DE"/>
        </w:rPr>
      </w:pPr>
    </w:p>
    <w:p w:rsidR="006704E5" w:rsidRPr="00E43992" w:rsidRDefault="006704E5" w:rsidP="006704E5">
      <w:pPr>
        <w:autoSpaceDE w:val="0"/>
        <w:autoSpaceDN w:val="0"/>
        <w:adjustRightInd w:val="0"/>
        <w:rPr>
          <w:rFonts w:ascii="FagoRoughBoldLf-Roman" w:hAnsi="FagoRoughBoldLf-Roman" w:cs="FagoRoughBoldLf-Roman"/>
          <w:b/>
          <w:bCs/>
          <w:sz w:val="120"/>
          <w:szCs w:val="120"/>
          <w:lang w:val="de-DE"/>
        </w:rPr>
      </w:pPr>
      <w:r w:rsidRPr="00E43992">
        <w:rPr>
          <w:rFonts w:ascii="FagoRoughBoldLf-Roman" w:hAnsi="FagoRoughBoldLf-Roman" w:cs="FagoRoughBoldLf-Roman"/>
          <w:b/>
          <w:bCs/>
          <w:sz w:val="120"/>
          <w:szCs w:val="120"/>
          <w:lang w:val="de-DE"/>
        </w:rPr>
        <w:t>Ist Neutralität</w:t>
      </w:r>
      <w:r w:rsidR="00EA50CC" w:rsidRPr="00E43992">
        <w:rPr>
          <w:rFonts w:ascii="FagoRoughBoldLf-Roman" w:hAnsi="FagoRoughBoldLf-Roman" w:cs="FagoRoughBoldLf-Roman"/>
          <w:b/>
          <w:bCs/>
          <w:sz w:val="120"/>
          <w:szCs w:val="120"/>
          <w:lang w:val="de-DE"/>
        </w:rPr>
        <w:t xml:space="preserve"> </w:t>
      </w:r>
      <w:r w:rsidRPr="00E43992">
        <w:rPr>
          <w:rFonts w:ascii="FagoRoughBoldLf-Roman" w:hAnsi="FagoRoughBoldLf-Roman" w:cs="FagoRoughBoldLf-Roman"/>
          <w:b/>
          <w:bCs/>
          <w:sz w:val="120"/>
          <w:szCs w:val="120"/>
          <w:lang w:val="de-DE"/>
        </w:rPr>
        <w:t>noch zeitgerecht?</w:t>
      </w:r>
    </w:p>
    <w:p w:rsidR="009608A6" w:rsidRPr="00E43992" w:rsidRDefault="009608A6" w:rsidP="006704E5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25"/>
          <w:szCs w:val="21"/>
          <w:lang w:val="de-DE"/>
        </w:rPr>
      </w:pPr>
    </w:p>
    <w:p w:rsidR="009608A6" w:rsidRPr="00E43992" w:rsidRDefault="009608A6" w:rsidP="006704E5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25"/>
          <w:szCs w:val="21"/>
          <w:lang w:val="de-DE"/>
        </w:rPr>
      </w:pPr>
    </w:p>
    <w:p w:rsidR="009608A6" w:rsidRPr="00E43992" w:rsidRDefault="009608A6" w:rsidP="006704E5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25"/>
          <w:szCs w:val="21"/>
          <w:lang w:val="de-DE"/>
        </w:rPr>
      </w:pPr>
    </w:p>
    <w:p w:rsidR="006704E5" w:rsidRPr="00E43992" w:rsidRDefault="006704E5" w:rsidP="006704E5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 w:val="25"/>
          <w:szCs w:val="21"/>
          <w:lang w:val="de-DE"/>
        </w:rPr>
      </w:pPr>
      <w:r w:rsidRPr="00E43992">
        <w:rPr>
          <w:rFonts w:ascii="FagoNoBold-Roman" w:hAnsi="FagoNoBold-Roman" w:cs="FagoNoBold-Roman"/>
          <w:b/>
          <w:bCs/>
          <w:sz w:val="25"/>
          <w:szCs w:val="21"/>
          <w:lang w:val="de-DE"/>
        </w:rPr>
        <w:t>Nach dem Podiumsgespräch entspann sich eine lebhafte Diskussion mit dem Publikum über das Für und</w:t>
      </w:r>
      <w:r w:rsidR="009608A6" w:rsidRPr="00E43992">
        <w:rPr>
          <w:rFonts w:ascii="FagoNoBold-Roman" w:hAnsi="FagoNoBold-Roman" w:cs="FagoNoBold-Roman"/>
          <w:b/>
          <w:bCs/>
          <w:sz w:val="25"/>
          <w:szCs w:val="21"/>
          <w:lang w:val="de-DE"/>
        </w:rPr>
        <w:t xml:space="preserve"> </w:t>
      </w:r>
      <w:r w:rsidRPr="00E43992">
        <w:rPr>
          <w:rFonts w:ascii="FagoNoBold-Roman" w:hAnsi="FagoNoBold-Roman" w:cs="FagoNoBold-Roman"/>
          <w:b/>
          <w:bCs/>
          <w:sz w:val="25"/>
          <w:szCs w:val="21"/>
          <w:lang w:val="de-DE"/>
        </w:rPr>
        <w:t>Wider der Neutralität sowie das schwierige Spannungsverhältnis zwischen militärischen und humanitären</w:t>
      </w:r>
      <w:r w:rsidR="009608A6" w:rsidRPr="00E43992">
        <w:rPr>
          <w:rFonts w:ascii="FagoNoBold-Roman" w:hAnsi="FagoNoBold-Roman" w:cs="FagoNoBold-Roman"/>
          <w:b/>
          <w:bCs/>
          <w:sz w:val="25"/>
          <w:szCs w:val="21"/>
          <w:lang w:val="de-DE"/>
        </w:rPr>
        <w:t xml:space="preserve"> </w:t>
      </w:r>
      <w:r w:rsidRPr="00E43992">
        <w:rPr>
          <w:rFonts w:ascii="FagoNoBold-Roman" w:hAnsi="FagoNoBold-Roman" w:cs="FagoNoBold-Roman"/>
          <w:b/>
          <w:bCs/>
          <w:sz w:val="25"/>
          <w:szCs w:val="21"/>
          <w:lang w:val="de-DE"/>
        </w:rPr>
        <w:t>Akteuren. Ulrike von Pilar moderierte diesen Part, dessen Höhepunkte hier wiedergegeben werden.</w:t>
      </w:r>
    </w:p>
    <w:p w:rsidR="006704E5" w:rsidRPr="00E43992" w:rsidRDefault="006704E5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EF045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br w:type="page"/>
      </w:r>
      <w:r w:rsidR="009D049F" w:rsidRPr="00E43992">
        <w:rPr>
          <w:rFonts w:ascii="FagoNoBold-Roman" w:hAnsi="FagoNoBold-Roman" w:cs="FagoNoBold-Roman"/>
          <w:b/>
          <w:bCs/>
          <w:szCs w:val="18"/>
          <w:lang w:val="de-DE"/>
        </w:rPr>
        <w:lastRenderedPageBreak/>
        <w:t>Moderation</w:t>
      </w:r>
      <w:r w:rsidR="001E2C6A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Das IKRK und Ärzte ohne Grenzen betonen einerseits, wie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wichtig die Neutralität ist, um Zugang zu den Menschen zu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erhalten. Andererseits ist für medico Neutralität eigentlich gar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nicht möglich. Könnten Sie erklären, wie Sie konkret agieren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oder auch nicht?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Thomas Gebauer: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medico hat ein besonderes Konzept: Wir sind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meistens nicht mit eigenen Kräften vor Ort. Wir arbeiten mit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lokalen Partnern, die nicht unter unserem Namen handeln. In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Afghanistan sind es afghanische Minenräum-Organisationen, in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Palästina die Palestinian Medical Relief Society. Wir unterstützen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sie mit Material, mit Beratung, mit Vernetzung, und wir helfen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auch im politischen Bereich. Sie entscheiden selbst, wie weit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sie politisch Position beziehen. Die Frage des Zugangs stellt sich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für uns also nicht in derselben Weise. Diese Organisationen mit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ihren Mitarbeitern können entweder etwas tun oder sie sind so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gefährdet, dass sie ihre Arbeit einstellen müssen.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Johanna Grombach Wagner: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Frage der Neutralität wird sehr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oft falsch verstanden. Für mich ist Neutralität kein Zustand. 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nützt nichts, zu sagen „Wir sind neutral und deshalb müsst ihr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uns vertrauen.“ Wir müssen es vorleben. Neutralität bedeutet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nicht, blind zu sein gegenüber der Politik. Einer guten neutralen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humanitären Organisation ist immer bewusst, dass jede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Geste, jede Entscheidung sehr politisch ist und politische Auswirkungen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hat. Wie man mit diesen Auswirkungen umgeht, ist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zentrale Frage.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Bei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ist das Verhältnis von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internationalen zu nationalen Mitarbeitern ungefähr 1:10. 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größte Teil der Arbeit wird also von nationalen Kollegen geleistet.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Trotzdem übernehmen nach außen hin die internationalen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Mitarbeiter die Verantwortung, um Unabhängigkeit und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Neutralität besser garantieren zu können. Denn die nationalen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Kollegen sind oft einem ungeheuren sozialen und politischen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Druck ausgesetzt. Allerdings übernehmen sie immer öfter große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Verantwortung, weil es für die internationalen Mitarbeiter 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gefährlich wird. Somalia ist ein Beispiel. Das heißt aber nicht,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dass wir, wie medico, die Arbeit an andere Organisationen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übergeben.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Regular-Roman" w:hAnsi="FagoNoRegular-Roman" w:cs="FagoNoRegular-Roman"/>
          <w:szCs w:val="18"/>
          <w:lang w:val="de-DE"/>
        </w:rPr>
        <w:t>Zur Neutralität möchte ich klarstellen: Wir sind auf dem politischen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Auge keinesfalls blind. Wir behaupten nicht, in einem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politischen Vakuum agieren zu können. Wir sagen nur: Neutralität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ist wichtig, um Zugang zu erhalten. In akuten Konfliktsituationen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geben wir daher öffentlich keine politische Einschätzung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ab. Trotzdem versuchen wir zu dokumentieren, was wir sehen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und direkt miterleben.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Gibt es wirklich nur die Kategorien „neutral“ und „nicht-neutral“?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Gibt es Neutralität nicht auch auf einer Skala von 0 bis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100? Das Rote Kreuz hat nach Meinung vieler seine Neutralität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im Zweiten Weltkrieg verloren. Trotzdem gibt es weiterhin vor,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neutral zu sein und nur so arbeiten zu können. Ist das heutzutage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noch zeitgerecht?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Johanna Grombach Wagner: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Der Zweite Weltkrieg war sicher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der beste Moment in unserer Geschichte. Doch wie ich zuvor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schon sagte, war Neutralität 2001 in Afghanistan nicht sehr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populär. Es hieß überall: „Im 21. Jahrhundert kann man doch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mehr neutral sein - das ist Verrat an der Zivilisation und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ihr MÜSST auf der Seite des Guten sein.“ Wir haben lange Zeit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selbst gezweifelt. Schließlich wurde sogar einer meiner Kollegen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umgebracht. Dann haben wir uns doch zur Neutralität durchgerungen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- mit allen Schwierigkeiten. Ich behaupte nicht, dass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wir alles besser machen als andere. Ich versuche nur darzustellen,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wie wir mit diesem Dilemma umzugehen versuchen. Denn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ein Dilemma bleibt es.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Regular-Roman" w:hAnsi="FagoNoRegular-Roman" w:cs="FagoNoRegular-Roman"/>
          <w:szCs w:val="18"/>
          <w:lang w:val="de-DE"/>
        </w:rPr>
        <w:t>Heute sind wir überzeugt, dass wir in Afghanistan trotz dieses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Drucks, und obwohl wir altmodisch waren, das Richtige getan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haben. Wir haben dadurch Zugang zu den Taliban-Gebieten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erhalten. Aber ich möchte nicht den Eindruck erwecken, 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gäbe nur eine Art, gute humanitäre Arbeit zu leisten und das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sei unsere. Es müssen auch nicht alle neutral sein. Die Genfer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Konventionen bestehen nur darauf, dass es Humanität und Unparteilichkeit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geben muss. Neutralität und Unabhängigkeit sind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nur spezifisch für das IKRK vorgesehen. Die UNO soll sich ja nicht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neutral verhalten. Sie ist es auch nicht, obwohl sie es behauptet.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 xml:space="preserve">Diese </w:t>
      </w:r>
      <w:r w:rsidRPr="00E43992">
        <w:rPr>
          <w:rFonts w:ascii="FagoNoRegular-Roman" w:hAnsi="FagoNoRegular-Roman" w:cs="FagoNoRegular-Roman"/>
          <w:szCs w:val="18"/>
          <w:lang w:val="de-DE"/>
        </w:rPr>
        <w:lastRenderedPageBreak/>
        <w:t>Haltung finde ich übrigens noch gefährlicher: Wenn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die, die ganz klar Partei ergreifen müssen, sich mit Neutralität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brüsten.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Warum wurden die 13 Organisationen aus Darfur rausgeworfen?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Waren das diejenigen, die objektiv am wenigsten neutral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und unabhängig waren? Oder wollte sich der sudanesische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Präsident für den Haftbefehl des Internationalen Strafgerichtshofs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rächen?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Antwort darauf kennt nur Herr Al-Bashir. Von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wurden zwei der fünf Sektionen ausgewiesen.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Unserer Analyse zufolge hatte das rein politische Gründe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im Fall der französischen und praktische Gründe im Fall 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holländischen Sektion: Letztere hatte 2005 erstmals den sogenannten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Vergewaltigungsbericht</w:t>
      </w:r>
      <w:r w:rsidR="00D606A6" w:rsidRPr="00E43992">
        <w:rPr>
          <w:rFonts w:ascii="FagoNoRegular-Roman" w:hAnsi="FagoNoRegular-Roman" w:cs="FagoNoRegular-Roman"/>
          <w:sz w:val="18"/>
          <w:szCs w:val="14"/>
          <w:lang w:val="de-DE"/>
        </w:rPr>
        <w:t xml:space="preserve">1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veröffentlicht. Der Rausschmiss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schien von langer Hand geplant. Alle Organisationen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sagten damals übrigens, sie hätten sich „neutral“ verhalten.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Aber wenn man gleichzeitig mit dem Internationalen Strafgerichtshof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zusammenarbeitet, ist das problematisch. Klar ist aber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auch, dass Khartum sehr schlau mit unterschiedlichen Organisationen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umgeht und Bedingungen stellt. Wie weit akzeptiert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man solche Vorgaben? Das ist schwierig zu beantworten, wenn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um Menschenleben geht. Letztlich ist hier die Politik gefragt.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Johanna Grombach Wagner: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Frage der Zusammenarbeit mit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dem Internationalen Strafgerichtshof hat das IKRK klar mit nein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beantwortet. Wir haben sogar vom Gerichtshof eine Immunität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bekommen, d. h. die Delegierten des IKRK können nicht als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Zeugen zitiert werden. Das heißt aber nicht, dass alle Organisationen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so handhaben müssen.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Für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gilt: Wir haben in keiner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Weise mit dem Strafgerichtshof zusammengearbeitet und werden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auch künftig nicht tun.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Dennis Dijkzeul: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Zwei Probleme kommen hier zusammen: Man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will die Not der Menschen vor Ort lindern und muss gleichzeitig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die Interessen </w:t>
      </w:r>
      <w:bookmarkStart w:id="0" w:name="_GoBack"/>
      <w:bookmarkEnd w:id="0"/>
      <w:r w:rsidR="00D606A6" w:rsidRPr="00E43992">
        <w:rPr>
          <w:rFonts w:ascii="FagoNoRegular-Roman" w:hAnsi="FagoNoRegular-Roman" w:cs="FagoNoRegular-Roman"/>
          <w:szCs w:val="18"/>
          <w:lang w:val="de-DE"/>
        </w:rPr>
        <w:t>Al-Bashirs, des Militärs und anderer Akteure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verstehen. Die humanitären Organisationen müssen, um sich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heraushalten zu können, ein extrem hohes Maß an politischem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Bewusstsein haben. Sie müssen nicht nur die Bedürfnisse vor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Ort verstehen, sondern auch die unterschiedlichen Strategien,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Politiker wie der sudanesische Präsident Al-Bashir oder 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ehemalige kongolesische Rebellenführer Nkunda anwenden.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Technisch können humanitäre Organisationen heutzutage sehr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viel. Schwieriger ist es, die politischen Interessen und Strategien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zu verstehen. Da gibt es für die Hilfsorganisationen noch viel 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lernen.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Wie schätzen Sie die Situation in Sri Lanka ein? Als humanitäre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Organisation wird man zur Unterzeichnung eines Abkommens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mit der Regierung gedrängt, um Zugang zu den Flüchtlingen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im Norden zu erhalten. Dieses Abkommen beinhaltet aber,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dass wir keinen direkten Kontakt zu den Vertriebenen aufnehmen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dürfen. Inwieweit ist hier die Neutralität gefährdet?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Thomas Gebauer: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 solchen Fällen ist in der Tat die Politik gefragt.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muss von außen, z. B. vom Bundesministerium für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wirtschaftliche Zusammenarbeit und Entwicklung, möglichst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mit den betroffenen Organisationen, Druck ausgeübt werden,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um Hilfe zu ermöglichen, ohne politisch instrumentalisiert 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werden. Das sehe ich als eine wichtige Aufgabe der Hilfsorganisationen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an, die vor Ort sind. Sie müssen ihre Erkenntnisse an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Politik im eigenen Land zurückkoppeln.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Johanna Grombach Wagner: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Sri Lanka ist ein komplizierter Fall,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ein wirkliches Dilemma. Die Frage stellt sich immer wieder, was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man mit einer politisch heiklen Information macht. Wenn wir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als IKRK Informationen haben, nutzen wir sie – allerdings nicht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öffentlich. Es gibt viele andere Möglichkeiten, bevor wir öffentlich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einen Verstoß gegen das Völkerrecht an den Pranger stellen.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Im Zeitalter der globalen Kommunikation gibt es keine Informationen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mehr, die nur wir haben. Wir müssen eine Art Arbeitsteilung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aufbauen, so dass die humanitären Organisationen sich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zurückhalten können. Amnesty International, Human Rights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Watch und andere können dann an die Öffentlichkeit gehen.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Manchmal muss man von vornherein einkalkulieren,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dass es auf einen ‚Deal’ hinausläuft und die eigenen Grenzen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entsprechend definieren, um Zugang zu den Betroffenen 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erhalten. Stehen Menschenleben auf dem Spiel, kann es nötig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sein, die humanitären Prinzipien teilweise außer Kraft zu setzen.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Wichtig ist, dass man sich dessen bewusst ist. Man hat ja immer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noch die Möglichkeit, das Abkommen mit der Regierung zu verletzen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– auf die Gefahr hin, des Landes verwiesen zu werden.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Kerstin Müller: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Ich würde es politisch nie so werten, dass die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Unterzeichnung eines Abkommens als Zusammenarbeit mit 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Regierung gesehen wird. Aus Sicht der Politik ist es in unserem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Interesse, dass humanitäre Organisationen z. B. in Darfur arbeiten.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Genauso sehe ich das in Sri Lanka. Es ist Aufgabe der Politik,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Druck auf die Regierung auszuüben, um den uneingeschränkten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Zugang für die Hilfsorganisationen zu den Flüchtlingen abzusichern.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mag stimmen, dass es heute kaum noch völlig geheime Informationen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gibt. Aber ich möchte noch einmal das Beispiel Darfur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erwähnen. Anfang 2004 bin ich, weil ich nicht in den Sudan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reinkam, in den Tschad gefahren, an die Grenze zum Sudan.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Außer einigen wenigen Journalisten gab es dort nur Hilfsorganisationen,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manchmal ein UN-Lager. Die Gespräche mit den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Helfern waren für mich enorm wichtig. Die Berichte waren so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dramatisch, dass ich von dort aus direkt nach New York zum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UN-Sicherheitsrat fuhr und über die Situation berichtete. Es hat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danach durchaus politische Reaktionen gegeben.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An dieser Stelle gibt eine Hilfsorganisation meiner Meinung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nach nicht ihre Neutralität auf. Die Hilfsorganisationen haben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schließlich nicht gesagt, es müsse dies und das passieren. 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ging nur darum, dass ich Fakten erhielt, die ich nicht überall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nachlesen konnte.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Johanna Grombach Wagner: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Genau das habe ich gemeint. Das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ist die ideale Situation. Die Hilfsorganisationen liefern Fakten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und anschließend machen Sie Ihre politische Arbeit, da sind wir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mehr dabei. Ein Problem wird daraus, wenn wir Humanitären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auch die politische Arbeit machen wollen. Dann kommen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wir in Schwierigkeiten.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Dennis Dijkzeul: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Neutralität bedeutet, keine Seite des Konflikts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zu unterstützen bzw. keine Meinung zu den Konfliktursachen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und Konfliktparteien zu äußern, jedenfalls nicht öffentlich. Unparteilichkeit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heißt, die Hilfe nur nach den Bedürfnissen auszurichten,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nach politischen oder ethnischen Kriterien. Und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Unabhängigkeit bedeutet, man lässt sich nicht von Geldgebern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beeinflussen. Aber es gibt extreme Fälle, wo diese Prinzipien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funktionieren, z. B. während des Genozids in Ruanda oder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im Dritten Reich angesichts der Konzentrationslager. Da gibt 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nur eine Möglichkeit: Man sagt laut und deutlich, wie schrecklich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ist. Da gibt es nur eine normative Stellungnahme.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Kerstin Müller hat gesagt, humanitäre Helfer könnten möglicherweise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ohne Militärschutz nicht arbeiten. Dieses Problem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hängt durchaus mit der Frage nach Neutralität zusammen. Wie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denken Sie darüber?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Thomas Gebauer: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medico lehnt militärischen Schutz von Hilfe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ab. Unsere Partner wollen das auch nicht. Es ist unbestritten,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dass es sicherer Rahmenbedingungen bedarf, aber es wird heftig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diskutiert, wie man diese erreicht.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Ist es überhaupt noch möglich, die humanitären Organisationen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in der Außendarstellung von den anderen Akteuren abzugrenzen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aufgrund der Konfusion zwischen dem Militär und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den zivilen Kräften?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Kerstin Müller: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Beispiel Afghanistan. Die Bundesregierung ist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dafür da, die afghanische Regierung beim Wiederaufbau zu unterstützen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und Sicherheit zu schaffen. An dieser Stelle möchte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ich noch einmal den Ansatz der regionalen Wiederaufbauteams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(Provincial Reconstruction Teams, kurz PRT genannt) verteidigen.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Bei den PRT geht es um Abstimmung und Koordinierung. Es geht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darum, dass die Bundeswehr oder die Militärs die Aufgaben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der Humanitären übernehmen. Ich räume ein, dass dies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natürlich eher dazu führt, dass die Widerstandskämpfer im Land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alle Akteure in einen Topf werfen und sagen: „Die ziehen ja alle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an einem Strang, also sind sie alle gegen uns.“ Trotzdem meine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ich, dass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lastRenderedPageBreak/>
        <w:t>es in solch einer Situation darum geht, ein Land wie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Afghanistan von allen Seiten zu stabilisieren. Wir müssen Möglichkeiten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der Kommunikation und Abstimmung finden.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lehnt militärischen Schutz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ab. Militär und Waffen sind nie neutral und werden so auch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nicht wahrgenommen. Unserer Ansicht nach führt die zunehmende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Militarisierung einiger Kontexte dazu, dass Neutralität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kaum noch möglich ist und wir immer mehr als Teil einer politischen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Strategie wahrgenommen werden.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Regular-Roman" w:hAnsi="FagoNoRegular-Roman" w:cs="FagoNoRegular-Roman"/>
          <w:szCs w:val="18"/>
          <w:lang w:val="de-DE"/>
        </w:rPr>
        <w:t>Es geht aber auch um Geld und darum, woher dieses Geld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kommt. Wer sich als Hilfsorganisation von einer Konfliktpartei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finanzieren lässt, ergreift indirekt Partei. Wer das tut, sollte dazu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stehen und sich den daraus entstehenden Probleme stellen.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Johanna Grombach Wagner </w:t>
      </w:r>
      <w:r w:rsidRPr="00E43992">
        <w:rPr>
          <w:rFonts w:ascii="FagoNoRegular-Roman" w:hAnsi="FagoNoRegular-Roman" w:cs="FagoNoRegular-Roman"/>
          <w:szCs w:val="18"/>
          <w:lang w:val="de-DE"/>
        </w:rPr>
        <w:t>Wir versuchen diese Abhängigkeit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von staatlichen Geldern zu überwinden, indem wir keine Auflagen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von den Staaten übernehmen. Das Geld wird für eine gewisse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Region gegeben und nicht für ein bestimmtes Projekt. Damit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können wir pro Region selbst entscheiden, was wir machen.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Aber wir müssen unser Vorgehen immer und überall erklären,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viele Male.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Moderation: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Wie ist das mit der „Responsibility to Protect“ ? Humanitäre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Hilfe verhindert keinen Völkermord, kann ethnische Säuberungen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und Massaker nicht aufhalten. Kann denn dieses relativ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neue Konzept tatsächlich in solchen Situationen Leben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retten? Bisher zumindest haben die Reaktionen in Myanmar</w:t>
      </w:r>
      <w:r w:rsidR="00EA50CC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oder Darfur nicht sehr optimistisch gestimmt.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Kerstin Müller: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Das ist richtig, das Konzept ist noch in den Anfängen.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hapert an der Umsetzung. Die Frage ist durchaus, wie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weit greift dieses Konzept überhaupt und wozu verpflichtet es?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Was kann eine Hilfsorganisation in so einer Extremsituation ausrichten?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Muss man dann nicht über das Gesehene oder Erlebte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informieren oder sogar darüber hinausgehen? Das müssen die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einzelnen Organisationen vor Ort selbst entscheiden. Es kann ja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sein, dass man es schlichtweg nicht aushält: Man ist dort und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denkt, es muss etwas passieren. Und geht dann einen Schritt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weiter als man es sonst vielleicht täte. Was ich allerdings falsch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finde, und davon möchte ich mich ganz klar abgrenzen: Es gibt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Kollegen, die erwarten von humanitären Hilfsorganisationen,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dass sie jetzt mit dem Internationalen Strafgerichtshof zusammenarbeiten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und Informationen über Menschenrechtsverbrechen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 Darfur liefern. Das finde ich ein ungehöriges Ansinnen.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6704E5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Dennis Dijkzeul: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Auch wenn sich Hilfsorganisationen zu Recht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dagegen wehren: Humanitäre Hilfe wird oft instrumentalisiert.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Es gibt gewisse Menschen, die über Gewalt und Krieg bestimmte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Interessen durchsetzen wollen. Und es gibt Kriegsparteien oder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Politiker, die sich die humanitäre Hilfe zunutze machen. Oder,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wenn sie ihnen nicht gefällt, wie im Fall von Präsident Al-Bashir,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dann werfen sie die humanitären Helfer aus dem Land. Diese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Art von Instrumentalisierung wird es immer geben. Heute haben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wir versucht, über die Prinzipien der Neutralität, Unparteilichkeit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und Unabhängigkeit zu reflektieren und zu überlegen, wie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sie möglicherweise den Zugang zu den Opfern sicherstellen oder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die Qualität der Hilfe verbessern. Instrumentalisierung bleibt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dabei ein weiteres wichtiges Thema. Denn sie führt häufig zu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genau der Gewalt, die humanitäre Hilfe notwendig macht.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8"/>
          <w:szCs w:val="14"/>
          <w:lang w:val="de-DE"/>
        </w:rPr>
      </w:pPr>
    </w:p>
    <w:p w:rsidR="00D606A6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8"/>
          <w:szCs w:val="14"/>
          <w:lang w:val="de-DE"/>
        </w:rPr>
      </w:pPr>
      <w:r w:rsidRPr="00E43992">
        <w:rPr>
          <w:rFonts w:ascii="FagoNoRegular-Roman" w:hAnsi="FagoNoRegular-Roman" w:cs="FagoNoRegular-Roman"/>
          <w:sz w:val="18"/>
          <w:szCs w:val="14"/>
          <w:lang w:val="de-DE"/>
        </w:rPr>
        <w:t>Anm.: Thomas Gebauer, medico international, nahm nur an der ersten Hälfte der</w:t>
      </w:r>
      <w:r w:rsidR="00EA576E" w:rsidRPr="00E43992">
        <w:rPr>
          <w:rFonts w:ascii="FagoNoRegular-Roman" w:hAnsi="FagoNoRegular-Roman" w:cs="FagoNoRegular-Roman"/>
          <w:sz w:val="18"/>
          <w:szCs w:val="14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 w:val="18"/>
          <w:szCs w:val="14"/>
          <w:lang w:val="de-DE"/>
        </w:rPr>
        <w:t>Diskussion teil.</w:t>
      </w:r>
    </w:p>
    <w:p w:rsidR="00D606A6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8"/>
          <w:szCs w:val="14"/>
          <w:lang w:val="de-DE"/>
        </w:rPr>
      </w:pPr>
      <w:r w:rsidRPr="00E43992">
        <w:rPr>
          <w:rFonts w:ascii="FagoNoRegular-Roman" w:hAnsi="FagoNoRegular-Roman" w:cs="FagoNoRegular-Roman"/>
          <w:sz w:val="18"/>
          <w:szCs w:val="14"/>
          <w:lang w:val="de-DE"/>
        </w:rPr>
        <w:t>1 „The Crushing Burden of Rape.“ Sexual Violence in Darfur. A briefing paper by</w:t>
      </w:r>
      <w:r w:rsidR="00EA576E" w:rsidRPr="00E43992">
        <w:rPr>
          <w:rFonts w:ascii="FagoNoRegular-Roman" w:hAnsi="FagoNoRegular-Roman" w:cs="FagoNoRegular-Roman"/>
          <w:sz w:val="18"/>
          <w:szCs w:val="14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 w:val="18"/>
          <w:szCs w:val="14"/>
          <w:lang w:val="de-DE"/>
        </w:rPr>
        <w:t>Médecins Sans Frontières Amsterdam. 8 March 2005, siehe: www.msf.org</w:t>
      </w:r>
    </w:p>
    <w:p w:rsidR="00D606A6" w:rsidRPr="00E43992" w:rsidRDefault="009608A6" w:rsidP="003F0945">
      <w:pPr>
        <w:rPr>
          <w:rFonts w:ascii="FagoRoughBoldLf-Roman" w:hAnsi="FagoRoughBoldLf-Roman" w:cs="FagoRoughBoldLf-Roman"/>
          <w:b/>
          <w:bCs/>
          <w:sz w:val="55"/>
          <w:szCs w:val="67"/>
          <w:lang w:val="de-DE"/>
        </w:rPr>
      </w:pPr>
      <w:r w:rsidRPr="00E43992">
        <w:rPr>
          <w:rFonts w:ascii="FagoNoRegular-Roman" w:hAnsi="FagoNoRegular-Roman" w:cs="FagoNoRegular-Roman"/>
          <w:sz w:val="18"/>
          <w:szCs w:val="14"/>
          <w:lang w:val="de-DE"/>
        </w:rPr>
        <w:br w:type="page"/>
      </w:r>
      <w:r w:rsidR="00D606A6" w:rsidRPr="00E43992">
        <w:rPr>
          <w:rFonts w:ascii="FagoRoughBoldLf-Roman" w:hAnsi="FagoRoughBoldLf-Roman" w:cs="FagoRoughBoldLf-Roman"/>
          <w:b/>
          <w:bCs/>
          <w:sz w:val="55"/>
          <w:szCs w:val="67"/>
          <w:lang w:val="de-DE"/>
        </w:rPr>
        <w:lastRenderedPageBreak/>
        <w:t>Über die Autorinnen und Autoren</w:t>
      </w:r>
    </w:p>
    <w:p w:rsidR="009D049F" w:rsidRPr="00E43992" w:rsidRDefault="009D049F" w:rsidP="00D606A6">
      <w:pPr>
        <w:autoSpaceDE w:val="0"/>
        <w:autoSpaceDN w:val="0"/>
        <w:adjustRightInd w:val="0"/>
        <w:rPr>
          <w:rFonts w:ascii="FagoNoBold-Roman" w:hAnsi="FagoNoBold-Roman" w:cs="FagoNoBold-Roman"/>
          <w:b/>
          <w:bCs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Dennis Dijkzeul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ist Professor und Geschäftsführer des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Instituts für Friedenssicherungsrecht und Humanitäres</w:t>
      </w:r>
      <w:r w:rsidR="009608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Völkerrecht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an der Ruhr-Universität Bochum. In den Jahren 2000 bis 2002 leitete er an der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School for International and Public Affairs der Columbia Universität in New York das neue Programm für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humanitäre Angelegenheiten. Dennis Dijkzeul war als Berater für verschiedene internationale Organisationen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 Afrika, Zentralamerika, Europa und den USA tätig. Sein Hauptinteresse gilt dem Management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internationaler Organisationen, der humanitären Hilfe und dem Wiederaufbau sowie der Partizipation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lokaler Akteure in Entwicklungs- und humanitären Programmen.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www.ruhr-uni-bochum.de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2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Frank Dörner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ist seit Mai 2008 Geschäftsführer der deutschen Sektion von </w:t>
      </w:r>
      <w:r w:rsidR="00D606A6" w:rsidRPr="00E43992">
        <w:rPr>
          <w:rFonts w:ascii="FagoNoBold-Caps" w:hAnsi="FagoNoBold-Caps" w:cs="FagoNoBold-Caps"/>
          <w:b/>
          <w:bCs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Berlin. Er arbeitet seit 1998 für die Organisation und war anfangs als Arzt im Sudan und in Birma/Myanmar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tätig. Von 2003 bis 2006 betreute er HIV/Aids-Projekte in Guatemala, zunächst als Medizinischer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Koordinator und später als Leiter der Programme. Ab Juni 2006 verantwortete Frank Dörner von Genf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aus die Projekte in Kamerun, Laos, Birma/Myanmar, Honduras, Guatemala und im Irak. Er studierte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Humanmedizin an der Freien Universität Berlin und promovierte nach seiner Facharztausbildung für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Allgemeinmedizin im Bereich Tropenmedizin.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www.aerzte-ohne-grenzen.de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2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Thomas Gebauer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ist Geschäftsführer der sozialmedizinischen Entwicklungshilfe- und Menschenrechtsorganisation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medico international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. Nach Abschluss eines Psychologie-Studiums begann er 1979 seine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Tätigkeit für medico international, zunächst im Bereich der Öffentlichkeitsarbeit, später als Leiter der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Projektabteilung. Zu den Arbeitschwerpunkten von Thomas Gebauer zählen „Advocacy“ und „International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Campaigning“ in den Bereichen globale Gesundheit, psychosoziale Versorgung und Unterstützung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von Kriegsversehrten. Er war 1991 Mitbegründer der später mit dem Friedensnobelpreis ausgezeichneten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„Internationalen Kampagne zum Verbot von Landminen“.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www.medico.de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2"/>
          <w:szCs w:val="18"/>
          <w:lang w:val="de-DE"/>
        </w:rPr>
      </w:pPr>
    </w:p>
    <w:p w:rsidR="00EA50CC" w:rsidRPr="00E43992" w:rsidRDefault="00D606A6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Johanna Grombach Wagner </w:t>
      </w:r>
      <w:r w:rsidRPr="00E43992">
        <w:rPr>
          <w:rFonts w:ascii="FagoNoRegular-Roman" w:hAnsi="FagoNoRegular-Roman" w:cs="FagoNoRegular-Roman"/>
          <w:szCs w:val="18"/>
          <w:lang w:val="de-DE"/>
        </w:rPr>
        <w:t xml:space="preserve">unterstützte bis vor Kurzem als Beraterin den Generaldirektor des </w:t>
      </w: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Internationalen</w:t>
      </w:r>
      <w:r w:rsidR="009608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Komitees vom Roten Kreuz </w:t>
      </w:r>
      <w:r w:rsidRPr="00E43992">
        <w:rPr>
          <w:rFonts w:ascii="FagoNoRegular-Roman" w:hAnsi="FagoNoRegular-Roman" w:cs="FagoNoRegular-Roman"/>
          <w:szCs w:val="18"/>
          <w:lang w:val="de-DE"/>
        </w:rPr>
        <w:t>(IKRK). Heute leitet sie das Projekt Informationsmanagement in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Genf. In den Jahren 1992 bis 1996 arbeitete sie für das IKRK hauptsächlich in Afrika und im Kaukasus.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Von 1999 bis 2003 war Johanna Grombach Wagner am Zentrum für humanitären Dialog in Genf tätig, wo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sie unter anderem den Dialog zwischen der französischen und angelsächsischen Denkrichtung für humanitäre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Hilfe herstellte. Sie legte neben ihrem akademischen Abschluss ein Diplom am Pariser Institut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für politische Studien (IEP) ab sowie einen Master in Öffentlicher Verwaltung an der Universität Harvard.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Pr="00E43992">
        <w:rPr>
          <w:rFonts w:ascii="FagoNoRegular-Roman" w:hAnsi="FagoNoRegular-Roman" w:cs="FagoNoRegular-Roman"/>
          <w:szCs w:val="18"/>
          <w:lang w:val="de-DE"/>
        </w:rPr>
        <w:t>www.icrc.org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2"/>
          <w:szCs w:val="18"/>
          <w:lang w:val="de-DE"/>
        </w:rPr>
      </w:pPr>
    </w:p>
    <w:p w:rsidR="00EA50CC" w:rsidRPr="00E43992" w:rsidRDefault="009D049F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Kerstin Müller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, MdB, ist seit 1986 Mitglied der Grünen und zurzeit außenpolitische Sprecherin der Bundestagsfraktion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von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>Bündnis 90/Die Grünen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. Zuvor war sie von 2002-2005 Staatsministerin im Auswärtigen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Amt. Kerstin Müller hat intensiv die internationalen Konflikte im Sudan/Darfur, in der Demokratischen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Republik Kongo/der Region der Großen Seen, in Somalia und Simbabwe bearbeitet. Als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erste europäische Regierungsvertreterin sprach sie 2004 vor dem UN-Sicherheitsrat von „ethnischen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Vertreibungen“ in Darfur und setzte sich dafür ein, dass der Fall „Darfur“ an den Internationalen Strafgerichtshof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überwiesen wurde.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www.kerstin-mueller-mdb.de</w:t>
      </w:r>
    </w:p>
    <w:p w:rsidR="00EA50CC" w:rsidRPr="00E43992" w:rsidRDefault="00EA50CC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 w:val="12"/>
          <w:szCs w:val="18"/>
          <w:lang w:val="de-DE"/>
        </w:rPr>
      </w:pPr>
    </w:p>
    <w:p w:rsidR="00D606A6" w:rsidRPr="00E43992" w:rsidRDefault="005C0F0E" w:rsidP="00D606A6">
      <w:pPr>
        <w:autoSpaceDE w:val="0"/>
        <w:autoSpaceDN w:val="0"/>
        <w:adjustRightInd w:val="0"/>
        <w:rPr>
          <w:rFonts w:ascii="FagoNoRegular-Roman" w:hAnsi="FagoNoRegular-Roman" w:cs="FagoNoRegular-Roman"/>
          <w:szCs w:val="18"/>
          <w:lang w:val="de-DE"/>
        </w:rPr>
      </w:pPr>
      <w:r w:rsidRPr="00E43992">
        <w:rPr>
          <w:rFonts w:ascii="FagoNoBold-Roman" w:hAnsi="FagoNoBold-Roman" w:cs="FagoNoBold-Roman"/>
          <w:b/>
          <w:bCs/>
          <w:szCs w:val="18"/>
          <w:lang w:val="de-DE"/>
        </w:rPr>
        <w:t>Ulrike von Pilar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arbeitet heute freiberuflich als </w:t>
      </w:r>
      <w:r w:rsidR="00D606A6" w:rsidRPr="00E43992">
        <w:rPr>
          <w:rFonts w:ascii="FagoNoBold-Roman" w:hAnsi="FagoNoBold-Roman" w:cs="FagoNoBold-Roman"/>
          <w:b/>
          <w:bCs/>
          <w:szCs w:val="18"/>
          <w:lang w:val="de-DE"/>
        </w:rPr>
        <w:t xml:space="preserve">Beraterin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für Politik und Praxis der humanitären Hilfe.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Von 1991 bis 2008 war die promovierte Mathematikerin in verschiedenen Positionen für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>ärzte ohne</w:t>
      </w:r>
      <w:r w:rsidR="009608A6" w:rsidRPr="00E43992">
        <w:rPr>
          <w:rFonts w:ascii="FagoNoRegular-Caps" w:hAnsi="FagoNoRegular-Caps" w:cs="FagoNoRegular-Caps"/>
          <w:szCs w:val="18"/>
          <w:lang w:val="de-DE"/>
        </w:rPr>
        <w:t xml:space="preserve">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tätig, anfangs für die belgische Sektion in Brüssel. 1993 gründete sie die deutschen Sektion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mit, übernahm vier Jahre lang den Vorstandsvorsitz und war von 1997 bis 2005 Geschäftsführerin in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 xml:space="preserve">Bonn und Berlin. Danach koordinierte sie für das Internationale Büro von </w:t>
      </w:r>
      <w:r w:rsidR="00D606A6" w:rsidRPr="00E43992">
        <w:rPr>
          <w:rFonts w:ascii="FagoNoRegular-Caps" w:hAnsi="FagoNoRegular-Caps" w:cs="FagoNoRegular-Caps"/>
          <w:szCs w:val="18"/>
          <w:lang w:val="de-DE"/>
        </w:rPr>
        <w:t xml:space="preserve">ärzte ohne grenzen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einen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internen Reflektionsprozess sowie die Abschlusskonferenz. Im Anschluss daran leitete sie zwei Jahre</w:t>
      </w:r>
      <w:r w:rsidR="009608A6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lang ein großes HIV/Aids-Projekt in Malawi.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  <w:r w:rsidR="00D606A6" w:rsidRPr="00E43992">
        <w:rPr>
          <w:rFonts w:ascii="FagoNoRegular-Roman" w:hAnsi="FagoNoRegular-Roman" w:cs="FagoNoRegular-Roman"/>
          <w:szCs w:val="18"/>
          <w:lang w:val="de-DE"/>
        </w:rPr>
        <w:t>ulrikevonpilar@gmx.de</w:t>
      </w:r>
      <w:r w:rsidR="00EA50CC" w:rsidRPr="00E43992">
        <w:rPr>
          <w:rFonts w:ascii="FagoNoRegular-Roman" w:hAnsi="FagoNoRegular-Roman" w:cs="FagoNoRegular-Roman"/>
          <w:szCs w:val="18"/>
          <w:lang w:val="de-DE"/>
        </w:rPr>
        <w:t xml:space="preserve"> </w:t>
      </w:r>
    </w:p>
    <w:sectPr w:rsidR="00D606A6" w:rsidRPr="00E43992" w:rsidSect="00EF045C">
      <w:footerReference w:type="default" r:id="rId7"/>
      <w:pgSz w:w="11907" w:h="16840" w:code="9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B97" w:rsidRDefault="00E61B97" w:rsidP="00EA50CC">
      <w:r>
        <w:separator/>
      </w:r>
    </w:p>
  </w:endnote>
  <w:endnote w:type="continuationSeparator" w:id="0">
    <w:p w:rsidR="00E61B97" w:rsidRDefault="00E61B97" w:rsidP="00EA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ta Braille Plus (ANSI)">
    <w:panose1 w:val="05000000000000000000"/>
    <w:charset w:val="00"/>
    <w:family w:val="auto"/>
    <w:pitch w:val="fixed"/>
    <w:sig w:usb0="00000003" w:usb1="00000000" w:usb2="00000000" w:usb3="00000000" w:csb0="00000001" w:csb1="00000000"/>
  </w:font>
  <w:font w:name="blistabraille6+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goNoRegular-Cap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NoBol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RoughBoldLf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No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NoBold-Cap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0CC" w:rsidRDefault="00EA50CC" w:rsidP="00EA50CC">
    <w:pPr>
      <w:pStyle w:val="Fuzeile"/>
      <w:tabs>
        <w:tab w:val="clear" w:pos="9406"/>
        <w:tab w:val="right" w:pos="9072"/>
      </w:tabs>
    </w:pPr>
    <w:r>
      <w:t>Zwischen Hilfe und Hilflosigkeit</w:t>
    </w:r>
    <w:r>
      <w:tab/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A7A7D">
      <w:rPr>
        <w:rStyle w:val="Seitenzahl"/>
        <w:noProof/>
      </w:rPr>
      <w:t>3</w:t>
    </w:r>
    <w:r>
      <w:rPr>
        <w:rStyle w:val="Seitenzahl"/>
      </w:rPr>
      <w:fldChar w:fldCharType="end"/>
    </w:r>
  </w:p>
  <w:p w:rsidR="00EA50CC" w:rsidRDefault="00EA50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B97" w:rsidRDefault="00E61B97" w:rsidP="00EA50CC">
      <w:r>
        <w:separator/>
      </w:r>
    </w:p>
  </w:footnote>
  <w:footnote w:type="continuationSeparator" w:id="0">
    <w:p w:rsidR="00E61B97" w:rsidRDefault="00E61B97" w:rsidP="00EA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C17D5"/>
    <w:multiLevelType w:val="singleLevel"/>
    <w:tmpl w:val="4F34EEBA"/>
    <w:lvl w:ilvl="0">
      <w:start w:val="1"/>
      <w:numFmt w:val="bullet"/>
      <w:pStyle w:val="Strich"/>
      <w:lvlText w:val="-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  <w:sz w:val="24"/>
      </w:rPr>
    </w:lvl>
  </w:abstractNum>
  <w:abstractNum w:abstractNumId="1">
    <w:nsid w:val="50023477"/>
    <w:multiLevelType w:val="hybridMultilevel"/>
    <w:tmpl w:val="4260CE46"/>
    <w:lvl w:ilvl="0" w:tplc="026AE562">
      <w:start w:val="1"/>
      <w:numFmt w:val="bullet"/>
      <w:pStyle w:val="Punk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A6"/>
    <w:rsid w:val="00005F2B"/>
    <w:rsid w:val="00011FC3"/>
    <w:rsid w:val="00072D5D"/>
    <w:rsid w:val="000A4C87"/>
    <w:rsid w:val="000F5780"/>
    <w:rsid w:val="0011059C"/>
    <w:rsid w:val="001217CC"/>
    <w:rsid w:val="00154478"/>
    <w:rsid w:val="001A6889"/>
    <w:rsid w:val="001B5F36"/>
    <w:rsid w:val="001C0937"/>
    <w:rsid w:val="001E2C6A"/>
    <w:rsid w:val="00256A5A"/>
    <w:rsid w:val="002640B3"/>
    <w:rsid w:val="002B680A"/>
    <w:rsid w:val="002E47E3"/>
    <w:rsid w:val="00345336"/>
    <w:rsid w:val="00391B05"/>
    <w:rsid w:val="003D29C3"/>
    <w:rsid w:val="003E0CF7"/>
    <w:rsid w:val="003E2A3E"/>
    <w:rsid w:val="003F0945"/>
    <w:rsid w:val="00460D49"/>
    <w:rsid w:val="004A6D9A"/>
    <w:rsid w:val="004A7A7D"/>
    <w:rsid w:val="004B5A49"/>
    <w:rsid w:val="004B7583"/>
    <w:rsid w:val="00501076"/>
    <w:rsid w:val="0052679C"/>
    <w:rsid w:val="00540D6D"/>
    <w:rsid w:val="0058444D"/>
    <w:rsid w:val="00592D5C"/>
    <w:rsid w:val="005C0F0E"/>
    <w:rsid w:val="005D3C19"/>
    <w:rsid w:val="005E026E"/>
    <w:rsid w:val="005F4445"/>
    <w:rsid w:val="00614D22"/>
    <w:rsid w:val="006704E5"/>
    <w:rsid w:val="006B001E"/>
    <w:rsid w:val="006B32BB"/>
    <w:rsid w:val="006B78E1"/>
    <w:rsid w:val="007303A3"/>
    <w:rsid w:val="0076227C"/>
    <w:rsid w:val="00783C9F"/>
    <w:rsid w:val="00803B02"/>
    <w:rsid w:val="00844909"/>
    <w:rsid w:val="00853A47"/>
    <w:rsid w:val="008B4214"/>
    <w:rsid w:val="008B54CA"/>
    <w:rsid w:val="008E0E4F"/>
    <w:rsid w:val="008F73BB"/>
    <w:rsid w:val="009320A6"/>
    <w:rsid w:val="00955EAB"/>
    <w:rsid w:val="009608A6"/>
    <w:rsid w:val="00972DEA"/>
    <w:rsid w:val="00980ABF"/>
    <w:rsid w:val="009A7A15"/>
    <w:rsid w:val="009C219E"/>
    <w:rsid w:val="009D049F"/>
    <w:rsid w:val="00A12B56"/>
    <w:rsid w:val="00A403E0"/>
    <w:rsid w:val="00A97E0F"/>
    <w:rsid w:val="00B0685E"/>
    <w:rsid w:val="00B16CF9"/>
    <w:rsid w:val="00B36404"/>
    <w:rsid w:val="00B54B91"/>
    <w:rsid w:val="00B76B87"/>
    <w:rsid w:val="00BB236C"/>
    <w:rsid w:val="00BD14BE"/>
    <w:rsid w:val="00BE1943"/>
    <w:rsid w:val="00C47867"/>
    <w:rsid w:val="00C70FE1"/>
    <w:rsid w:val="00CB0282"/>
    <w:rsid w:val="00CC21AE"/>
    <w:rsid w:val="00CD16D4"/>
    <w:rsid w:val="00D129BF"/>
    <w:rsid w:val="00D1559E"/>
    <w:rsid w:val="00D161CC"/>
    <w:rsid w:val="00D17791"/>
    <w:rsid w:val="00D600B3"/>
    <w:rsid w:val="00D606A6"/>
    <w:rsid w:val="00D7640B"/>
    <w:rsid w:val="00D938CF"/>
    <w:rsid w:val="00DB3985"/>
    <w:rsid w:val="00DC6B24"/>
    <w:rsid w:val="00DF4C90"/>
    <w:rsid w:val="00E262B4"/>
    <w:rsid w:val="00E43992"/>
    <w:rsid w:val="00E61B97"/>
    <w:rsid w:val="00E9337D"/>
    <w:rsid w:val="00EA18D5"/>
    <w:rsid w:val="00EA50CC"/>
    <w:rsid w:val="00EA576E"/>
    <w:rsid w:val="00EE3B5E"/>
    <w:rsid w:val="00EF045C"/>
    <w:rsid w:val="00F41163"/>
    <w:rsid w:val="00F5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1281A4-0896-4460-88F2-6BFB814C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1943"/>
    <w:rPr>
      <w:rFonts w:ascii="Verdana" w:hAnsi="Verdana"/>
      <w:sz w:val="22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BE1943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E194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cs="Arial"/>
      <w:b/>
      <w:bCs/>
      <w:iCs/>
      <w:sz w:val="26"/>
      <w:szCs w:val="28"/>
      <w:lang w:bidi="he-IL"/>
    </w:rPr>
  </w:style>
  <w:style w:type="paragraph" w:styleId="berschrift3">
    <w:name w:val="heading 3"/>
    <w:basedOn w:val="Standard"/>
    <w:next w:val="Standard"/>
    <w:link w:val="berschrift3Zchn"/>
    <w:qFormat/>
    <w:rsid w:val="00BE1943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BE1943"/>
    <w:pPr>
      <w:keepNext/>
      <w:spacing w:before="120" w:after="60"/>
      <w:outlineLvl w:val="3"/>
    </w:pPr>
    <w:rPr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nkt">
    <w:name w:val="Punkt"/>
    <w:basedOn w:val="Standard"/>
    <w:rsid w:val="00BE1943"/>
    <w:pPr>
      <w:numPr>
        <w:numId w:val="1"/>
      </w:numPr>
    </w:pPr>
    <w:rPr>
      <w:lang w:bidi="he-IL"/>
    </w:rPr>
  </w:style>
  <w:style w:type="paragraph" w:customStyle="1" w:styleId="Schwarzschrift">
    <w:name w:val="Schwarzschrift"/>
    <w:basedOn w:val="Standard"/>
    <w:rsid w:val="00BE19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  <w:rPr>
      <w:lang w:bidi="he-IL"/>
    </w:rPr>
  </w:style>
  <w:style w:type="paragraph" w:customStyle="1" w:styleId="Strich">
    <w:name w:val="Strich"/>
    <w:basedOn w:val="Standard"/>
    <w:rsid w:val="00BE1943"/>
    <w:pPr>
      <w:numPr>
        <w:numId w:val="2"/>
      </w:numPr>
    </w:pPr>
    <w:rPr>
      <w:lang w:bidi="he-IL"/>
    </w:rPr>
  </w:style>
  <w:style w:type="paragraph" w:customStyle="1" w:styleId="Strichliliste">
    <w:name w:val="Strichliliste"/>
    <w:basedOn w:val="Standard"/>
    <w:autoRedefine/>
    <w:rsid w:val="00BE1943"/>
    <w:pPr>
      <w:tabs>
        <w:tab w:val="left" w:pos="284"/>
      </w:tabs>
      <w:snapToGrid w:val="0"/>
      <w:ind w:left="284" w:hanging="284"/>
    </w:pPr>
  </w:style>
  <w:style w:type="character" w:customStyle="1" w:styleId="berschrift1Zchn">
    <w:name w:val="Überschrift 1 Zchn"/>
    <w:basedOn w:val="Absatz-Standardschriftart"/>
    <w:link w:val="berschrift1"/>
    <w:rsid w:val="00BE1943"/>
    <w:rPr>
      <w:rFonts w:ascii="Verdana" w:eastAsia="Times New Roman" w:hAnsi="Verdana" w:cs="Arial"/>
      <w:b/>
      <w:bCs/>
      <w:kern w:val="32"/>
      <w:sz w:val="30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BE1943"/>
    <w:rPr>
      <w:rFonts w:ascii="Verdana" w:eastAsia="Times New Roman" w:hAnsi="Verdana" w:cs="Arial"/>
      <w:b/>
      <w:bCs/>
      <w:iCs/>
      <w:sz w:val="26"/>
      <w:szCs w:val="28"/>
      <w:lang w:val="de-CH" w:bidi="he-IL"/>
    </w:rPr>
  </w:style>
  <w:style w:type="character" w:customStyle="1" w:styleId="berschrift3Zchn">
    <w:name w:val="Überschrift 3 Zchn"/>
    <w:basedOn w:val="Absatz-Standardschriftart"/>
    <w:link w:val="berschrift3"/>
    <w:rsid w:val="00BE1943"/>
    <w:rPr>
      <w:rFonts w:ascii="Verdana" w:eastAsia="Times New Roman" w:hAnsi="Verdana" w:cs="Arial"/>
      <w:b/>
      <w:bCs/>
      <w:sz w:val="24"/>
      <w:szCs w:val="26"/>
      <w:lang w:val="de-CH"/>
    </w:rPr>
  </w:style>
  <w:style w:type="character" w:customStyle="1" w:styleId="berschrift4Zchn">
    <w:name w:val="Überschrift 4 Zchn"/>
    <w:basedOn w:val="Absatz-Standardschriftart"/>
    <w:link w:val="berschrift4"/>
    <w:rsid w:val="00BE1943"/>
    <w:rPr>
      <w:rFonts w:ascii="Verdana" w:eastAsia="Times New Roman" w:hAnsi="Verdana" w:cs="Times New Roman"/>
      <w:b/>
      <w:bCs/>
      <w:szCs w:val="28"/>
      <w:lang w:val="de-CH"/>
    </w:rPr>
  </w:style>
  <w:style w:type="paragraph" w:customStyle="1" w:styleId="ZusammenhaltendeLeerzeile">
    <w:name w:val="ZusammenhaltendeLeerzeile"/>
    <w:basedOn w:val="Standard"/>
    <w:next w:val="Standard"/>
    <w:rsid w:val="00BE1943"/>
    <w:pPr>
      <w:keepNext/>
      <w:tabs>
        <w:tab w:val="left" w:pos="0"/>
      </w:tabs>
    </w:pPr>
  </w:style>
  <w:style w:type="paragraph" w:customStyle="1" w:styleId="Gesamttitel">
    <w:name w:val="Gesamttitel"/>
    <w:basedOn w:val="Standard"/>
    <w:next w:val="Standard"/>
    <w:rsid w:val="00BE1943"/>
    <w:pPr>
      <w:spacing w:after="120"/>
    </w:pPr>
    <w:rPr>
      <w:b/>
      <w:bCs/>
      <w:kern w:val="28"/>
      <w:sz w:val="32"/>
      <w:szCs w:val="28"/>
      <w:lang w:eastAsia="de-DE"/>
    </w:rPr>
  </w:style>
  <w:style w:type="paragraph" w:customStyle="1" w:styleId="ASCII">
    <w:name w:val="ASCII"/>
    <w:basedOn w:val="Standard"/>
    <w:rsid w:val="00BE194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52" w:lineRule="auto"/>
    </w:pPr>
    <w:rPr>
      <w:rFonts w:ascii="Courier New" w:hAnsi="Courier New" w:cs="Courier New"/>
      <w:noProof/>
      <w:lang w:bidi="he-IL"/>
    </w:rPr>
  </w:style>
  <w:style w:type="paragraph" w:customStyle="1" w:styleId="Braille">
    <w:name w:val="Braille"/>
    <w:basedOn w:val="Standard"/>
    <w:rsid w:val="00BE194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Blista Braille Plus (ANSI)" w:hAnsi="Blista Braille Plus (ANSI)" w:cs="Courier New"/>
      <w:noProof/>
      <w:lang w:bidi="he-IL"/>
    </w:rPr>
  </w:style>
  <w:style w:type="paragraph" w:customStyle="1" w:styleId="BraillePlus">
    <w:name w:val="BraillePlus"/>
    <w:basedOn w:val="Standard"/>
    <w:rsid w:val="00BE1943"/>
    <w:rPr>
      <w:rFonts w:ascii="blistabraille6+" w:hAnsi="blistabraille6+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50CC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50CC"/>
    <w:rPr>
      <w:rFonts w:ascii="Verdana" w:hAnsi="Verdana"/>
      <w:sz w:val="22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EA50CC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50CC"/>
    <w:rPr>
      <w:rFonts w:ascii="Verdana" w:hAnsi="Verdana"/>
      <w:sz w:val="22"/>
      <w:szCs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0CC"/>
    <w:rPr>
      <w:rFonts w:ascii="Tahoma" w:hAnsi="Tahoma" w:cs="Tahoma"/>
      <w:sz w:val="16"/>
      <w:szCs w:val="16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EA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80B9CFA8.dotm</Template>
  <TotalTime>0</TotalTime>
  <Pages>6</Pages>
  <Words>2794</Words>
  <Characters>17607</Characters>
  <Application>Microsoft Office Word</Application>
  <DocSecurity>0</DocSecurity>
  <Lines>146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Sehbehindertenhilfe Basel</Company>
  <LinksUpToDate>false</LinksUpToDate>
  <CharactersWithSpaces>20361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Aldridge Vivian</dc:creator>
  <cp:lastModifiedBy>Vivian Aldridge</cp:lastModifiedBy>
  <cp:revision>3</cp:revision>
  <cp:lastPrinted>2011-12-07T12:53:00Z</cp:lastPrinted>
  <dcterms:created xsi:type="dcterms:W3CDTF">2014-03-17T13:14:00Z</dcterms:created>
  <dcterms:modified xsi:type="dcterms:W3CDTF">2015-04-15T12:46:00Z</dcterms:modified>
</cp:coreProperties>
</file>